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FF0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6"/>
          <w:szCs w:val="44"/>
        </w:rPr>
      </w:pPr>
      <w:r>
        <w:rPr>
          <w:rFonts w:hint="eastAsia" w:ascii="黑体" w:hAnsi="黑体" w:eastAsia="黑体" w:cs="黑体"/>
          <w:b w:val="0"/>
          <w:bCs w:val="0"/>
          <w:sz w:val="36"/>
          <w:szCs w:val="44"/>
        </w:rPr>
        <w:t>吉首大学商学院毕业生就业创业工作目标管理奖惩办法</w:t>
      </w:r>
    </w:p>
    <w:p w14:paraId="18E1ED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宋体-GB13000" w:hAnsi="CESI宋体-GB13000" w:eastAsia="CESI宋体-GB13000" w:cs="CESI宋体-GB13000"/>
          <w:sz w:val="32"/>
          <w:szCs w:val="40"/>
        </w:rPr>
      </w:pPr>
    </w:p>
    <w:p w14:paraId="4F03AAF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40"/>
        </w:rPr>
      </w:pPr>
      <w:bookmarkStart w:id="0" w:name="_GoBack"/>
      <w:r>
        <w:rPr>
          <w:rFonts w:hint="eastAsia" w:ascii="仿宋_GB2312" w:hAnsi="仿宋_GB2312" w:eastAsia="仿宋_GB2312" w:cs="仿宋_GB2312"/>
          <w:b/>
          <w:bCs/>
          <w:sz w:val="32"/>
          <w:szCs w:val="40"/>
        </w:rPr>
        <w:t>第一条</w:t>
      </w:r>
      <w:r>
        <w:rPr>
          <w:rFonts w:hint="eastAsia" w:ascii="仿宋_GB2312" w:hAnsi="仿宋_GB2312" w:eastAsia="仿宋_GB2312" w:cs="仿宋_GB2312"/>
          <w:sz w:val="32"/>
          <w:szCs w:val="40"/>
        </w:rPr>
        <w:t xml:space="preserve"> 就业是最基本的民生</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做好毕业生就业创业工作是每一个教师的基本职责</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是“立德树人”的根本要求。为促进学院毕业生就业创业工作</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调动全体教职工参与毕业生就业创业工作积极性、主动性</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特制定本办法。</w:t>
      </w:r>
    </w:p>
    <w:p w14:paraId="74B9200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b/>
          <w:bCs/>
          <w:sz w:val="32"/>
          <w:szCs w:val="40"/>
        </w:rPr>
        <w:t>第二条</w:t>
      </w:r>
      <w:r>
        <w:rPr>
          <w:rFonts w:hint="eastAsia" w:ascii="仿宋_GB2312" w:hAnsi="仿宋_GB2312" w:eastAsia="仿宋_GB2312" w:cs="仿宋_GB2312"/>
          <w:sz w:val="32"/>
          <w:szCs w:val="40"/>
        </w:rPr>
        <w:t xml:space="preserve"> 学院就业创业工作的总体目标是促进毕业生充分就业和高质量</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highlight w:val="none"/>
          <w:lang w:eastAsia="zh-CN"/>
        </w:rPr>
        <w:t>离校毕业去向落实率、</w:t>
      </w:r>
      <w:r>
        <w:rPr>
          <w:rFonts w:hint="eastAsia" w:ascii="仿宋_GB2312" w:hAnsi="仿宋_GB2312" w:eastAsia="仿宋_GB2312" w:cs="仿宋_GB2312"/>
          <w:sz w:val="32"/>
          <w:szCs w:val="40"/>
          <w:highlight w:val="none"/>
        </w:rPr>
        <w:t>初次毕业去向落实率</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8月31日</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年终毕业去向落实率</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12月31日</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不低于学校年度最低要求。</w:t>
      </w:r>
    </w:p>
    <w:p w14:paraId="0F4D632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b/>
          <w:bCs/>
          <w:sz w:val="32"/>
          <w:szCs w:val="40"/>
          <w:highlight w:val="none"/>
        </w:rPr>
        <w:t>第三条</w:t>
      </w:r>
      <w:r>
        <w:rPr>
          <w:rFonts w:hint="eastAsia" w:ascii="仿宋_GB2312" w:hAnsi="仿宋_GB2312" w:eastAsia="仿宋_GB2312" w:cs="仿宋_GB2312"/>
          <w:sz w:val="32"/>
          <w:szCs w:val="40"/>
          <w:highlight w:val="none"/>
        </w:rPr>
        <w:t xml:space="preserve"> 当年</w:t>
      </w:r>
      <w:r>
        <w:rPr>
          <w:rFonts w:hint="eastAsia" w:ascii="仿宋_GB2312" w:hAnsi="仿宋_GB2312" w:eastAsia="仿宋_GB2312" w:cs="仿宋_GB2312"/>
          <w:sz w:val="32"/>
          <w:szCs w:val="40"/>
          <w:highlight w:val="none"/>
          <w:lang w:eastAsia="zh-CN"/>
        </w:rPr>
        <w:t>离校毕业去向落实率、</w:t>
      </w:r>
      <w:r>
        <w:rPr>
          <w:rFonts w:hint="eastAsia" w:ascii="仿宋_GB2312" w:hAnsi="仿宋_GB2312" w:eastAsia="仿宋_GB2312" w:cs="仿宋_GB2312"/>
          <w:sz w:val="32"/>
          <w:szCs w:val="40"/>
          <w:highlight w:val="none"/>
        </w:rPr>
        <w:t>初次毕业去向落实率和年终毕业去向落实率均高于学校年度最低要求</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且学院综合排名为前5名的班级</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分别奖励班主任600元、500元、400元、300元、200元。</w:t>
      </w:r>
    </w:p>
    <w:p w14:paraId="3DF48BE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b/>
          <w:bCs/>
          <w:sz w:val="32"/>
          <w:szCs w:val="40"/>
          <w:highlight w:val="none"/>
        </w:rPr>
        <w:t>第四条</w:t>
      </w:r>
      <w:r>
        <w:rPr>
          <w:rFonts w:hint="eastAsia" w:ascii="仿宋_GB2312" w:hAnsi="仿宋_GB2312" w:eastAsia="仿宋_GB2312" w:cs="仿宋_GB2312"/>
          <w:sz w:val="32"/>
          <w:szCs w:val="40"/>
          <w:highlight w:val="none"/>
        </w:rPr>
        <w:t xml:space="preserve"> 当年毕业生考研录取率学院排名前3名的班级</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分别奖励班主任400元、300元、200元</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毕业生应征入伍每人次奖励班主任200元。</w:t>
      </w:r>
    </w:p>
    <w:p w14:paraId="3E721BC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b/>
          <w:bCs/>
          <w:sz w:val="32"/>
          <w:szCs w:val="40"/>
          <w:highlight w:val="none"/>
        </w:rPr>
        <w:t>第五条</w:t>
      </w:r>
      <w:r>
        <w:rPr>
          <w:rFonts w:hint="eastAsia" w:ascii="仿宋_GB2312" w:hAnsi="仿宋_GB2312" w:eastAsia="仿宋_GB2312" w:cs="仿宋_GB2312"/>
          <w:sz w:val="32"/>
          <w:szCs w:val="40"/>
          <w:highlight w:val="none"/>
        </w:rPr>
        <w:t xml:space="preserve"> 设置就业创业工作突出贡献奖</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在毕业生就业创业工作中乐于奉献、主动作为、成效显著的教职工</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经学院就业创业工作领导小组评定可获此奖励</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每人次奖励300元。</w:t>
      </w:r>
    </w:p>
    <w:p w14:paraId="3185659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b/>
          <w:bCs/>
          <w:sz w:val="32"/>
          <w:szCs w:val="40"/>
          <w:highlight w:val="none"/>
        </w:rPr>
        <w:t>第六条</w:t>
      </w:r>
      <w:r>
        <w:rPr>
          <w:rFonts w:hint="eastAsia" w:ascii="仿宋_GB2312" w:hAnsi="仿宋_GB2312" w:eastAsia="仿宋_GB2312" w:cs="仿宋_GB2312"/>
          <w:sz w:val="32"/>
          <w:szCs w:val="40"/>
          <w:highlight w:val="none"/>
        </w:rPr>
        <w:t xml:space="preserve"> 当年初次毕业去向落实率低于50%的班级</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扣除该班班主任当年全部班主任年终绩效</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当年年终毕业去向落实率低于70%的班级</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扣除该班班主任当年全部班主任年终绩效。</w:t>
      </w:r>
    </w:p>
    <w:p w14:paraId="6C423CF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b/>
          <w:bCs/>
          <w:sz w:val="32"/>
          <w:szCs w:val="40"/>
          <w:highlight w:val="none"/>
        </w:rPr>
        <w:t>第七条</w:t>
      </w:r>
      <w:r>
        <w:rPr>
          <w:rFonts w:hint="eastAsia" w:ascii="仿宋_GB2312" w:hAnsi="仿宋_GB2312" w:eastAsia="仿宋_GB2312" w:cs="仿宋_GB2312"/>
          <w:sz w:val="32"/>
          <w:szCs w:val="40"/>
          <w:highlight w:val="none"/>
        </w:rPr>
        <w:t xml:space="preserve"> 就业创业工作出现责任事故</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依据情节轻重</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经学院党政联席会议讨论确定</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扣除该班班主任当年全部班主任年终绩效或扣除该班班主任当年全部班主任年终绩效60%。</w:t>
      </w:r>
    </w:p>
    <w:p w14:paraId="6DEA79D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b/>
          <w:bCs/>
          <w:sz w:val="32"/>
          <w:szCs w:val="40"/>
          <w:highlight w:val="none"/>
        </w:rPr>
        <w:t>第八条</w:t>
      </w:r>
      <w:r>
        <w:rPr>
          <w:rFonts w:hint="eastAsia" w:ascii="仿宋_GB2312" w:hAnsi="仿宋_GB2312" w:eastAsia="仿宋_GB2312" w:cs="仿宋_GB2312"/>
          <w:sz w:val="32"/>
          <w:szCs w:val="40"/>
          <w:highlight w:val="none"/>
        </w:rPr>
        <w:t xml:space="preserve"> 本办法所列奖励经费原则上从学院年终绩效分配奖励性绩效中支出</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本办法所列奖项由学院颁发奖励证书。</w:t>
      </w:r>
    </w:p>
    <w:p w14:paraId="0CA2103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b/>
          <w:bCs/>
          <w:sz w:val="32"/>
          <w:szCs w:val="40"/>
          <w:highlight w:val="none"/>
        </w:rPr>
        <w:t>第九条</w:t>
      </w:r>
      <w:r>
        <w:rPr>
          <w:rFonts w:hint="eastAsia" w:ascii="仿宋_GB2312" w:hAnsi="仿宋_GB2312" w:eastAsia="仿宋_GB2312" w:cs="仿宋_GB2312"/>
          <w:sz w:val="32"/>
          <w:szCs w:val="40"/>
          <w:highlight w:val="none"/>
        </w:rPr>
        <w:t xml:space="preserve"> 根据上级部门工作要求和学院现实情况的变化</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经学院就业创业工作领导小组研究</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学院可调整毕业去向落实率目标、奖项设置和奖励金额。</w:t>
      </w:r>
    </w:p>
    <w:p w14:paraId="725015A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b/>
          <w:bCs/>
          <w:sz w:val="32"/>
          <w:szCs w:val="40"/>
          <w:highlight w:val="none"/>
        </w:rPr>
        <w:t>第十条</w:t>
      </w:r>
      <w:r>
        <w:rPr>
          <w:rFonts w:hint="eastAsia" w:ascii="仿宋_GB2312" w:hAnsi="仿宋_GB2312" w:eastAsia="仿宋_GB2312" w:cs="仿宋_GB2312"/>
          <w:sz w:val="32"/>
          <w:szCs w:val="40"/>
          <w:highlight w:val="none"/>
          <w:lang w:val="en-US" w:eastAsia="zh-CN"/>
        </w:rPr>
        <w:t xml:space="preserve"> </w:t>
      </w:r>
      <w:r>
        <w:rPr>
          <w:rFonts w:hint="eastAsia" w:ascii="仿宋_GB2312" w:hAnsi="仿宋_GB2312" w:eastAsia="仿宋_GB2312" w:cs="仿宋_GB2312"/>
          <w:sz w:val="32"/>
          <w:szCs w:val="40"/>
          <w:highlight w:val="none"/>
        </w:rPr>
        <w:t>该办法由学院就业创业工作领导小组负责解释</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经学院党政联席会议审议通过</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自 202</w:t>
      </w:r>
      <w:r>
        <w:rPr>
          <w:rFonts w:hint="eastAsia" w:ascii="仿宋_GB2312" w:hAnsi="仿宋_GB2312" w:eastAsia="仿宋_GB2312" w:cs="仿宋_GB2312"/>
          <w:sz w:val="32"/>
          <w:szCs w:val="40"/>
          <w:highlight w:val="none"/>
          <w:lang w:val="en-US" w:eastAsia="zh-CN"/>
        </w:rPr>
        <w:t>6</w:t>
      </w:r>
      <w:r>
        <w:rPr>
          <w:rFonts w:hint="eastAsia" w:ascii="仿宋_GB2312" w:hAnsi="仿宋_GB2312" w:eastAsia="仿宋_GB2312" w:cs="仿宋_GB2312"/>
          <w:sz w:val="32"/>
          <w:szCs w:val="40"/>
          <w:highlight w:val="none"/>
        </w:rPr>
        <w:t>年</w:t>
      </w:r>
      <w:r>
        <w:rPr>
          <w:rFonts w:hint="eastAsia" w:ascii="仿宋_GB2312" w:hAnsi="仿宋_GB2312" w:eastAsia="仿宋_GB2312" w:cs="仿宋_GB2312"/>
          <w:sz w:val="32"/>
          <w:szCs w:val="40"/>
          <w:highlight w:val="none"/>
          <w:lang w:val="en-US" w:eastAsia="zh-CN"/>
        </w:rPr>
        <w:t>1</w:t>
      </w:r>
      <w:r>
        <w:rPr>
          <w:rFonts w:hint="eastAsia" w:ascii="仿宋_GB2312" w:hAnsi="仿宋_GB2312" w:eastAsia="仿宋_GB2312" w:cs="仿宋_GB2312"/>
          <w:sz w:val="32"/>
          <w:szCs w:val="40"/>
          <w:highlight w:val="none"/>
        </w:rPr>
        <w:t>月开始实施。</w:t>
      </w:r>
    </w:p>
    <w:p w14:paraId="69FA302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40"/>
        </w:rPr>
      </w:pPr>
    </w:p>
    <w:p w14:paraId="37A31D7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40"/>
          <w:highlight w:val="yellow"/>
          <w:lang w:eastAsia="zh-CN"/>
        </w:rPr>
      </w:pPr>
    </w:p>
    <w:bookmarkEnd w:id="0"/>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国标小标宋">
    <w:altName w:val="宋体"/>
    <w:panose1 w:val="02000500000000000000"/>
    <w:charset w:val="86"/>
    <w:family w:val="auto"/>
    <w:pitch w:val="default"/>
    <w:sig w:usb0="00000000" w:usb1="00000000" w:usb2="00000000" w:usb3="00000000" w:csb0="00040000" w:csb1="00000000"/>
  </w:font>
  <w:font w:name="CESI宋体-GB13000">
    <w:altName w:val="宋体"/>
    <w:panose1 w:val="020005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B40C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9DB59">
                          <w:pPr>
                            <w:pStyle w:val="2"/>
                            <w:rPr>
                              <w:rFonts w:hint="eastAsia" w:ascii="CESI宋体-GB13000" w:hAnsi="CESI宋体-GB13000" w:eastAsia="CESI宋体-GB13000" w:cs="CESI宋体-GB13000"/>
                              <w:sz w:val="28"/>
                              <w:szCs w:val="44"/>
                            </w:rPr>
                          </w:pPr>
                          <w:r>
                            <w:rPr>
                              <w:rFonts w:hint="eastAsia" w:ascii="CESI宋体-GB13000" w:hAnsi="CESI宋体-GB13000" w:eastAsia="CESI宋体-GB13000" w:cs="CESI宋体-GB13000"/>
                              <w:sz w:val="28"/>
                              <w:szCs w:val="44"/>
                            </w:rPr>
                            <w:fldChar w:fldCharType="begin"/>
                          </w:r>
                          <w:r>
                            <w:rPr>
                              <w:rFonts w:hint="eastAsia" w:ascii="CESI宋体-GB13000" w:hAnsi="CESI宋体-GB13000" w:eastAsia="CESI宋体-GB13000" w:cs="CESI宋体-GB13000"/>
                              <w:sz w:val="28"/>
                              <w:szCs w:val="44"/>
                            </w:rPr>
                            <w:instrText xml:space="preserve"> PAGE  \* MERGEFORMAT </w:instrText>
                          </w:r>
                          <w:r>
                            <w:rPr>
                              <w:rFonts w:hint="eastAsia" w:ascii="CESI宋体-GB13000" w:hAnsi="CESI宋体-GB13000" w:eastAsia="CESI宋体-GB13000" w:cs="CESI宋体-GB13000"/>
                              <w:sz w:val="28"/>
                              <w:szCs w:val="44"/>
                            </w:rPr>
                            <w:fldChar w:fldCharType="separate"/>
                          </w:r>
                          <w:r>
                            <w:rPr>
                              <w:rFonts w:hint="eastAsia" w:ascii="CESI宋体-GB13000" w:hAnsi="CESI宋体-GB13000" w:eastAsia="CESI宋体-GB13000" w:cs="CESI宋体-GB13000"/>
                              <w:sz w:val="28"/>
                              <w:szCs w:val="44"/>
                            </w:rPr>
                            <w:t>1</w:t>
                          </w:r>
                          <w:r>
                            <w:rPr>
                              <w:rFonts w:hint="eastAsia" w:ascii="CESI宋体-GB13000" w:hAnsi="CESI宋体-GB13000" w:eastAsia="CESI宋体-GB13000" w:cs="CESI宋体-GB13000"/>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89DB59">
                    <w:pPr>
                      <w:pStyle w:val="2"/>
                      <w:rPr>
                        <w:rFonts w:hint="eastAsia" w:ascii="CESI宋体-GB13000" w:hAnsi="CESI宋体-GB13000" w:eastAsia="CESI宋体-GB13000" w:cs="CESI宋体-GB13000"/>
                        <w:sz w:val="28"/>
                        <w:szCs w:val="44"/>
                      </w:rPr>
                    </w:pPr>
                    <w:r>
                      <w:rPr>
                        <w:rFonts w:hint="eastAsia" w:ascii="CESI宋体-GB13000" w:hAnsi="CESI宋体-GB13000" w:eastAsia="CESI宋体-GB13000" w:cs="CESI宋体-GB13000"/>
                        <w:sz w:val="28"/>
                        <w:szCs w:val="44"/>
                      </w:rPr>
                      <w:fldChar w:fldCharType="begin"/>
                    </w:r>
                    <w:r>
                      <w:rPr>
                        <w:rFonts w:hint="eastAsia" w:ascii="CESI宋体-GB13000" w:hAnsi="CESI宋体-GB13000" w:eastAsia="CESI宋体-GB13000" w:cs="CESI宋体-GB13000"/>
                        <w:sz w:val="28"/>
                        <w:szCs w:val="44"/>
                      </w:rPr>
                      <w:instrText xml:space="preserve"> PAGE  \* MERGEFORMAT </w:instrText>
                    </w:r>
                    <w:r>
                      <w:rPr>
                        <w:rFonts w:hint="eastAsia" w:ascii="CESI宋体-GB13000" w:hAnsi="CESI宋体-GB13000" w:eastAsia="CESI宋体-GB13000" w:cs="CESI宋体-GB13000"/>
                        <w:sz w:val="28"/>
                        <w:szCs w:val="44"/>
                      </w:rPr>
                      <w:fldChar w:fldCharType="separate"/>
                    </w:r>
                    <w:r>
                      <w:rPr>
                        <w:rFonts w:hint="eastAsia" w:ascii="CESI宋体-GB13000" w:hAnsi="CESI宋体-GB13000" w:eastAsia="CESI宋体-GB13000" w:cs="CESI宋体-GB13000"/>
                        <w:sz w:val="28"/>
                        <w:szCs w:val="44"/>
                      </w:rPr>
                      <w:t>1</w:t>
                    </w:r>
                    <w:r>
                      <w:rPr>
                        <w:rFonts w:hint="eastAsia" w:ascii="CESI宋体-GB13000" w:hAnsi="CESI宋体-GB13000" w:eastAsia="CESI宋体-GB13000" w:cs="CESI宋体-GB13000"/>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F5FFCF8"/>
    <w:rsid w:val="4A1947CF"/>
    <w:rsid w:val="57BDCD78"/>
    <w:rsid w:val="7C4F72C1"/>
    <w:rsid w:val="ED9F1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775</Words>
  <Characters>807</Characters>
  <Lines>0</Lines>
  <Paragraphs>0</Paragraphs>
  <TotalTime>13</TotalTime>
  <ScaleCrop>false</ScaleCrop>
  <LinksUpToDate>false</LinksUpToDate>
  <CharactersWithSpaces>818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这条鱼很在乎</cp:lastModifiedBy>
  <dcterms:modified xsi:type="dcterms:W3CDTF">2026-05-13T01:34:21Z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C65FC9D0A4981BD0391E5868046A0F94_42</vt:lpwstr>
  </property>
  <property fmtid="{D5CDD505-2E9C-101B-9397-08002B2CF9AE}" pid="4" name="KSOTemplateDocerSaveRecord">
    <vt:lpwstr>eyJoZGlkIjoiZTNiMmJjMGUyMDNhMGI0MjllZTc4OTE3ODRjOTBjMWQiLCJ1c2VySWQiOiI3MTU2Mjg2OTMifQ==</vt:lpwstr>
  </property>
</Properties>
</file>